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F3864"/>
          <w:sz w:val="52"/>
          <w:szCs w:val="52"/>
        </w:rPr>
        <w:t xml:space="preserve">FABRICE ARMEL</w:t>
      </w:r>
    </w:p>
    <w:p>
      <w:pPr>
        <w:spacing w:after="60"/>
        <w:jc w:val="center"/>
      </w:pPr>
      <w:r>
        <w:rPr>
          <w:rFonts w:ascii="Arial" w:cs="Arial" w:eastAsia="Arial" w:hAnsi="Arial"/>
          <w:i/>
          <w:iCs/>
          <w:color w:val="555555"/>
          <w:sz w:val="26"/>
          <w:szCs w:val="26"/>
        </w:rPr>
        <w:t xml:space="preserve">Opérateur en emballage &amp; production</w:t>
      </w:r>
    </w:p>
    <w:p>
      <w:pPr>
        <w:pBdr>
          <w:bottom w:val="single" w:color="1F3864" w:sz="6" w:space="4"/>
        </w:pBdr>
        <w:spacing w:after="20"/>
        <w:jc w:val="center"/>
      </w:pPr>
      <w:r>
        <w:rPr>
          <w:rFonts w:ascii="Arial" w:cs="Arial" w:eastAsia="Arial" w:hAnsi="Arial"/>
          <w:color w:val="555555"/>
          <w:sz w:val="19"/>
          <w:szCs w:val="19"/>
        </w:rPr>
        <w:t xml:space="preserve">Montréal (Rosemont–La Petite-Patrie)  •  263-255-8658  •  Résidence permanente  •  Disponible immédiatement</w:t>
      </w:r>
    </w:p>
    <w:p>
      <w:pPr>
        <w:pBdr>
          <w:bottom w:val="single" w:color="1F3864" w:sz="8" w:space="4"/>
        </w:pBdr>
        <w:spacing w:after="80" w:before="260"/>
      </w:pPr>
      <w:r>
        <w:rPr>
          <w:rFonts w:ascii="Arial" w:cs="Arial" w:eastAsia="Arial" w:hAnsi="Arial"/>
          <w:b/>
          <w:bCs/>
          <w:color w:val="1F3864"/>
          <w:sz w:val="26"/>
          <w:szCs w:val="26"/>
        </w:rPr>
        <w:t xml:space="preserve">PROFIL PROFESSIONNEL</w:t>
      </w:r>
    </w:p>
    <w:p>
      <w:pPr>
        <w:spacing w:after="60"/>
      </w:pPr>
      <w:r>
        <w:rPr>
          <w:rFonts w:ascii="Arial" w:cs="Arial" w:eastAsia="Arial" w:hAnsi="Arial"/>
          <w:sz w:val="22"/>
          <w:szCs w:val="22"/>
        </w:rPr>
        <w:t xml:space="preserve">Travailleur rigoureux et polyvalent, avec une expérience directe en emballage, conditionnement et manutention en environnement industriel. Habitué aux cadences soutenues, aux normes de qualité strictes et au travail en équipe. Motivé à contribuer à la chaîne de production d'une entreprise de renommée internationale comme Barilla.</w:t>
      </w:r>
    </w:p>
    <w:p>
      <w:pPr>
        <w:pBdr>
          <w:bottom w:val="single" w:color="1F3864" w:sz="8" w:space="4"/>
        </w:pBdr>
        <w:spacing w:after="80" w:before="260"/>
      </w:pPr>
      <w:r>
        <w:rPr>
          <w:rFonts w:ascii="Arial" w:cs="Arial" w:eastAsia="Arial" w:hAnsi="Arial"/>
          <w:b/>
          <w:bCs/>
          <w:color w:val="1F3864"/>
          <w:sz w:val="26"/>
          <w:szCs w:val="26"/>
        </w:rPr>
        <w:t xml:space="preserve">EXPÉRIENCE PROFESSIONNELLE</w:t>
      </w:r>
    </w:p>
    <w:p>
      <w:pPr>
        <w:spacing w:after="40" w:before="140"/>
      </w:pPr>
      <w:r>
        <w:rPr>
          <w:rFonts w:ascii="Arial" w:cs="Arial" w:eastAsia="Arial" w:hAnsi="Arial"/>
          <w:b/>
          <w:bCs/>
          <w:sz w:val="24"/>
          <w:szCs w:val="24"/>
        </w:rPr>
        <w:t xml:space="preserve">Journalier de production</w:t>
      </w:r>
      <w:r>
        <w:rPr>
          <w:rFonts w:ascii="Arial" w:cs="Arial" w:eastAsia="Arial" w:hAnsi="Arial"/>
          <w:color w:val="555555"/>
          <w:sz w:val="22"/>
          <w:szCs w:val="22"/>
        </w:rPr>
        <w:t xml:space="preserve">  |  </w:t>
      </w:r>
      <w:r>
        <w:rPr>
          <w:rFonts w:ascii="Arial" w:cs="Arial" w:eastAsia="Arial" w:hAnsi="Arial"/>
          <w:b/>
          <w:bCs/>
          <w:color w:val="1F3864"/>
          <w:sz w:val="22"/>
          <w:szCs w:val="22"/>
        </w:rPr>
        <w:t xml:space="preserve">Montreal Aluminum Solutions (MAS Inc.)</w:t>
      </w:r>
      <w:r>
        <w:rPr>
          <w:rFonts w:ascii="Arial" w:cs="Arial" w:eastAsia="Arial" w:hAnsi="Arial"/>
          <w:i/>
          <w:iCs/>
          <w:color w:val="555555"/>
          <w:sz w:val="20"/>
          <w:szCs w:val="20"/>
        </w:rPr>
        <w:t xml:space="preserve">  —  Mai 2026 – présent | Dorval, QC</w:t>
      </w:r>
    </w:p>
    <w:p>
      <w:pPr>
        <w:pStyle w:val="ListParagraph"/>
        <w:numPr>
          <w:ilvl w:val="0"/>
          <w:numId w:val="2"/>
        </w:numPr>
        <w:spacing w:after="60"/>
      </w:pPr>
      <w:r>
        <w:rPr>
          <w:rFonts w:ascii="Arial" w:cs="Arial" w:eastAsia="Arial" w:hAnsi="Arial"/>
          <w:b w:val="false"/>
          <w:bCs w:val="false"/>
          <w:sz w:val="22"/>
          <w:szCs w:val="22"/>
        </w:rPr>
        <w:t xml:space="preserve">Mise en rack et emballage de pièces en aluminium dans un environnement d'anodisation industrielle</w:t>
      </w:r>
    </w:p>
    <w:p>
      <w:pPr>
        <w:pStyle w:val="ListParagraph"/>
        <w:numPr>
          <w:ilvl w:val="0"/>
          <w:numId w:val="2"/>
        </w:numPr>
        <w:spacing w:after="60"/>
      </w:pPr>
      <w:r>
        <w:rPr>
          <w:rFonts w:ascii="Arial" w:cs="Arial" w:eastAsia="Arial" w:hAnsi="Arial"/>
          <w:b w:val="false"/>
          <w:bCs w:val="false"/>
          <w:sz w:val="22"/>
          <w:szCs w:val="22"/>
        </w:rPr>
        <w:t xml:space="preserve">Respect strict des normes de qualité et de sécurité en milieu de production</w:t>
      </w:r>
    </w:p>
    <w:p>
      <w:pPr>
        <w:pStyle w:val="ListParagraph"/>
        <w:numPr>
          <w:ilvl w:val="0"/>
          <w:numId w:val="2"/>
        </w:numPr>
        <w:spacing w:after="60"/>
      </w:pPr>
      <w:r>
        <w:rPr>
          <w:rFonts w:ascii="Arial" w:cs="Arial" w:eastAsia="Arial" w:hAnsi="Arial"/>
          <w:b w:val="false"/>
          <w:bCs w:val="false"/>
          <w:sz w:val="22"/>
          <w:szCs w:val="22"/>
        </w:rPr>
        <w:t xml:space="preserve">Travail cadencé sur ligne de production, poste permanent temps plein (lundi–vendredi)</w:t>
      </w:r>
    </w:p>
    <w:p>
      <w:pPr>
        <w:pStyle w:val="ListParagraph"/>
        <w:numPr>
          <w:ilvl w:val="0"/>
          <w:numId w:val="2"/>
        </w:numPr>
        <w:spacing w:after="60"/>
      </w:pPr>
      <w:r>
        <w:rPr>
          <w:rFonts w:ascii="Arial" w:cs="Arial" w:eastAsia="Arial" w:hAnsi="Arial"/>
          <w:b w:val="false"/>
          <w:bCs w:val="false"/>
          <w:sz w:val="22"/>
          <w:szCs w:val="22"/>
        </w:rPr>
        <w:t xml:space="preserve">Manipulation et organisation de charges lourdes selon les procédures établies</w:t>
      </w:r>
    </w:p>
    <w:p>
      <w:pPr>
        <w:pStyle w:val="ListParagraph"/>
        <w:numPr>
          <w:ilvl w:val="0"/>
          <w:numId w:val="2"/>
        </w:numPr>
        <w:spacing w:after="60"/>
      </w:pPr>
      <w:r>
        <w:rPr>
          <w:rFonts w:ascii="Arial" w:cs="Arial" w:eastAsia="Arial" w:hAnsi="Arial"/>
          <w:b w:val="false"/>
          <w:bCs w:val="false"/>
          <w:sz w:val="22"/>
          <w:szCs w:val="22"/>
        </w:rPr>
        <w:t xml:space="preserve">Collaboration quotidienne en équipe multilingue</w:t>
      </w:r>
    </w:p>
    <w:p>
      <w:pPr>
        <w:spacing w:after="40" w:before="140"/>
      </w:pPr>
      <w:r>
        <w:rPr>
          <w:rFonts w:ascii="Arial" w:cs="Arial" w:eastAsia="Arial" w:hAnsi="Arial"/>
          <w:b/>
          <w:bCs/>
          <w:sz w:val="24"/>
          <w:szCs w:val="24"/>
        </w:rPr>
        <w:t xml:space="preserve">Manœuvre général</w:t>
      </w:r>
      <w:r>
        <w:rPr>
          <w:rFonts w:ascii="Arial" w:cs="Arial" w:eastAsia="Arial" w:hAnsi="Arial"/>
          <w:color w:val="555555"/>
          <w:sz w:val="22"/>
          <w:szCs w:val="22"/>
        </w:rPr>
        <w:t xml:space="preserve">  |  </w:t>
      </w:r>
      <w:r>
        <w:rPr>
          <w:rFonts w:ascii="Arial" w:cs="Arial" w:eastAsia="Arial" w:hAnsi="Arial"/>
          <w:b/>
          <w:bCs/>
          <w:color w:val="1F3864"/>
          <w:sz w:val="22"/>
          <w:szCs w:val="22"/>
        </w:rPr>
        <w:t xml:space="preserve">Bédard Ressources (placement industriel)</w:t>
      </w:r>
      <w:r>
        <w:rPr>
          <w:rFonts w:ascii="Arial" w:cs="Arial" w:eastAsia="Arial" w:hAnsi="Arial"/>
          <w:i/>
          <w:iCs/>
          <w:color w:val="555555"/>
          <w:sz w:val="20"/>
          <w:szCs w:val="20"/>
        </w:rPr>
        <w:t xml:space="preserve">  —  Avril – Mai 2026 | Montréal, QC</w:t>
      </w:r>
    </w:p>
    <w:p>
      <w:pPr>
        <w:pStyle w:val="ListParagraph"/>
        <w:numPr>
          <w:ilvl w:val="0"/>
          <w:numId w:val="2"/>
        </w:numPr>
        <w:spacing w:after="60"/>
      </w:pPr>
      <w:r>
        <w:rPr>
          <w:rFonts w:ascii="Arial" w:cs="Arial" w:eastAsia="Arial" w:hAnsi="Arial"/>
          <w:b w:val="false"/>
          <w:bCs w:val="false"/>
          <w:sz w:val="22"/>
          <w:szCs w:val="22"/>
        </w:rPr>
        <w:t xml:space="preserve">Affectations en entrepôt et milieu industriel : manutention, tri et préparation de commandes</w:t>
      </w:r>
    </w:p>
    <w:p>
      <w:pPr>
        <w:pStyle w:val="ListParagraph"/>
        <w:numPr>
          <w:ilvl w:val="0"/>
          <w:numId w:val="2"/>
        </w:numPr>
        <w:spacing w:after="60"/>
      </w:pPr>
      <w:r>
        <w:rPr>
          <w:rFonts w:ascii="Arial" w:cs="Arial" w:eastAsia="Arial" w:hAnsi="Arial"/>
          <w:b w:val="false"/>
          <w:bCs w:val="false"/>
          <w:sz w:val="22"/>
          <w:szCs w:val="22"/>
        </w:rPr>
        <w:t xml:space="preserve">Adaptation rapide à différents environnements de travail et consignes de sécurité</w:t>
      </w:r>
    </w:p>
    <w:p>
      <w:pPr>
        <w:pBdr>
          <w:bottom w:val="single" w:color="1F3864" w:sz="8" w:space="4"/>
        </w:pBdr>
        <w:spacing w:after="80" w:before="260"/>
      </w:pPr>
      <w:r>
        <w:rPr>
          <w:rFonts w:ascii="Arial" w:cs="Arial" w:eastAsia="Arial" w:hAnsi="Arial"/>
          <w:b/>
          <w:bCs/>
          <w:color w:val="1F3864"/>
          <w:sz w:val="26"/>
          <w:szCs w:val="26"/>
        </w:rPr>
        <w:t xml:space="preserve">COMPÉTENCES CLÉS</w:t>
      </w:r>
    </w:p>
    <w:tbl>
      <w:tblPr>
        <w:tblW w:type="dxa" w:w="9706"/>
        <w:tblBorders>
          <w:top w:val="none"/>
          <w:left w:val="none"/>
          <w:bottom w:val="none"/>
          <w:right w:val="none"/>
          <w:insideH w:val="single" w:color="auto" w:sz="4"/>
          <w:insideV w:val="single" w:color="auto" w:sz="4"/>
        </w:tblBorders>
      </w:tblPr>
      <w:tblGrid>
        <w:gridCol w:w="4853"/>
        <w:gridCol w:w="4853"/>
      </w:tblGrid>
      <w:tr>
        <w:tc>
          <w:tcPr>
            <w:tcW w:type="dxa" w:w="4853"/>
            <w:tcBorders>
              <w:top w:val="none"/>
              <w:left w:val="none"/>
              <w:bottom w:val="none"/>
              <w:right w:val="none"/>
            </w:tcBorders>
          </w:tcPr>
          <w:p>
            <w:pPr>
              <w:pStyle w:val="ListParagraph"/>
              <w:numPr>
                <w:ilvl w:val="0"/>
                <w:numId w:val="2"/>
              </w:numPr>
              <w:spacing w:after="60"/>
            </w:pPr>
            <w:r>
              <w:rPr>
                <w:rFonts w:ascii="Arial" w:cs="Arial" w:eastAsia="Arial" w:hAnsi="Arial"/>
                <w:b w:val="false"/>
                <w:bCs w:val="false"/>
                <w:sz w:val="22"/>
                <w:szCs w:val="22"/>
              </w:rPr>
              <w:t xml:space="preserve">Emballage et conditionnement de produits</w:t>
            </w:r>
          </w:p>
          <w:p>
            <w:pPr>
              <w:pStyle w:val="ListParagraph"/>
              <w:numPr>
                <w:ilvl w:val="0"/>
                <w:numId w:val="2"/>
              </w:numPr>
              <w:spacing w:after="60"/>
            </w:pPr>
            <w:r>
              <w:rPr>
                <w:rFonts w:ascii="Arial" w:cs="Arial" w:eastAsia="Arial" w:hAnsi="Arial"/>
                <w:b w:val="false"/>
                <w:bCs w:val="false"/>
                <w:sz w:val="22"/>
                <w:szCs w:val="22"/>
              </w:rPr>
              <w:t xml:space="preserve">Contrôle qualité visuel</w:t>
            </w:r>
          </w:p>
          <w:p>
            <w:pPr>
              <w:pStyle w:val="ListParagraph"/>
              <w:numPr>
                <w:ilvl w:val="0"/>
                <w:numId w:val="2"/>
              </w:numPr>
              <w:spacing w:after="60"/>
            </w:pPr>
            <w:r>
              <w:rPr>
                <w:rFonts w:ascii="Arial" w:cs="Arial" w:eastAsia="Arial" w:hAnsi="Arial"/>
                <w:b w:val="false"/>
                <w:bCs w:val="false"/>
                <w:sz w:val="22"/>
                <w:szCs w:val="22"/>
              </w:rPr>
              <w:t xml:space="preserve">Respect des normes d'hygiène et sécurité alimentaire</w:t>
            </w:r>
          </w:p>
          <w:p>
            <w:pPr>
              <w:pStyle w:val="ListParagraph"/>
              <w:numPr>
                <w:ilvl w:val="0"/>
                <w:numId w:val="2"/>
              </w:numPr>
              <w:spacing w:after="60"/>
            </w:pPr>
            <w:r>
              <w:rPr>
                <w:rFonts w:ascii="Arial" w:cs="Arial" w:eastAsia="Arial" w:hAnsi="Arial"/>
                <w:b w:val="false"/>
                <w:bCs w:val="false"/>
                <w:sz w:val="22"/>
                <w:szCs w:val="22"/>
              </w:rPr>
              <w:t xml:space="preserve">Travail en cadence et sur ligne de production</w:t>
            </w:r>
          </w:p>
        </w:tc>
        <w:tc>
          <w:tcPr>
            <w:tcW w:type="dxa" w:w="4853"/>
            <w:tcBorders>
              <w:top w:val="none"/>
              <w:left w:val="none"/>
              <w:bottom w:val="none"/>
              <w:right w:val="none"/>
            </w:tcBorders>
          </w:tcPr>
          <w:p>
            <w:pPr>
              <w:pStyle w:val="ListParagraph"/>
              <w:numPr>
                <w:ilvl w:val="0"/>
                <w:numId w:val="2"/>
              </w:numPr>
              <w:spacing w:after="60"/>
            </w:pPr>
            <w:r>
              <w:rPr>
                <w:rFonts w:ascii="Arial" w:cs="Arial" w:eastAsia="Arial" w:hAnsi="Arial"/>
                <w:b w:val="false"/>
                <w:bCs w:val="false"/>
                <w:sz w:val="22"/>
                <w:szCs w:val="22"/>
              </w:rPr>
              <w:t xml:space="preserve">Manutention et gestion de charges lourdes</w:t>
            </w:r>
          </w:p>
          <w:p>
            <w:pPr>
              <w:pStyle w:val="ListParagraph"/>
              <w:numPr>
                <w:ilvl w:val="0"/>
                <w:numId w:val="2"/>
              </w:numPr>
              <w:spacing w:after="60"/>
            </w:pPr>
            <w:r>
              <w:rPr>
                <w:rFonts w:ascii="Arial" w:cs="Arial" w:eastAsia="Arial" w:hAnsi="Arial"/>
                <w:b w:val="false"/>
                <w:bCs w:val="false"/>
                <w:sz w:val="22"/>
                <w:szCs w:val="22"/>
              </w:rPr>
              <w:t xml:space="preserve">Fiabilité, ponctualité et rigueur</w:t>
            </w:r>
          </w:p>
          <w:p>
            <w:pPr>
              <w:pStyle w:val="ListParagraph"/>
              <w:numPr>
                <w:ilvl w:val="0"/>
                <w:numId w:val="2"/>
              </w:numPr>
              <w:spacing w:after="60"/>
            </w:pPr>
            <w:r>
              <w:rPr>
                <w:rFonts w:ascii="Arial" w:cs="Arial" w:eastAsia="Arial" w:hAnsi="Arial"/>
                <w:b w:val="false"/>
                <w:bCs w:val="false"/>
                <w:sz w:val="22"/>
                <w:szCs w:val="22"/>
              </w:rPr>
              <w:t xml:space="preserve">Travail d'équipe et communication</w:t>
            </w:r>
          </w:p>
          <w:p>
            <w:pPr>
              <w:pStyle w:val="ListParagraph"/>
              <w:numPr>
                <w:ilvl w:val="0"/>
                <w:numId w:val="2"/>
              </w:numPr>
              <w:spacing w:after="60"/>
            </w:pPr>
            <w:r>
              <w:rPr>
                <w:rFonts w:ascii="Arial" w:cs="Arial" w:eastAsia="Arial" w:hAnsi="Arial"/>
                <w:b w:val="false"/>
                <w:bCs w:val="false"/>
                <w:sz w:val="22"/>
                <w:szCs w:val="22"/>
              </w:rPr>
              <w:t xml:space="preserve">Adaptation rapide aux consignes et procédures</w:t>
            </w:r>
          </w:p>
        </w:tc>
      </w:tr>
    </w:tbl>
    <w:p>
      <w:pPr>
        <w:pBdr>
          <w:bottom w:val="single" w:color="1F3864" w:sz="8" w:space="4"/>
        </w:pBdr>
        <w:spacing w:after="80" w:before="260"/>
      </w:pPr>
      <w:r>
        <w:rPr>
          <w:rFonts w:ascii="Arial" w:cs="Arial" w:eastAsia="Arial" w:hAnsi="Arial"/>
          <w:b/>
          <w:bCs/>
          <w:color w:val="1F3864"/>
          <w:sz w:val="26"/>
          <w:szCs w:val="26"/>
        </w:rPr>
        <w:t xml:space="preserve">FORMATION</w:t>
      </w:r>
    </w:p>
    <w:p>
      <w:pPr>
        <w:spacing w:after="40" w:before="120"/>
      </w:pPr>
      <w:r>
        <w:rPr>
          <w:rFonts w:ascii="Arial" w:cs="Arial" w:eastAsia="Arial" w:hAnsi="Arial"/>
          <w:b/>
          <w:bCs/>
          <w:sz w:val="23"/>
          <w:szCs w:val="23"/>
        </w:rPr>
        <w:t xml:space="preserve">Baccalauréat en lettres et sciences humaines</w:t>
      </w:r>
    </w:p>
    <w:p>
      <w:pPr>
        <w:spacing w:after="60"/>
      </w:pPr>
      <w:r>
        <w:rPr>
          <w:rFonts w:ascii="Arial" w:cs="Arial" w:eastAsia="Arial" w:hAnsi="Arial"/>
          <w:i/>
          <w:iCs/>
          <w:color w:val="555555"/>
          <w:sz w:val="21"/>
          <w:szCs w:val="21"/>
        </w:rPr>
        <w:t xml:space="preserve">Burkina Faso  —  Équivalence en cours d'évaluation (MIFI)</w:t>
      </w:r>
    </w:p>
    <w:p>
      <w:pPr>
        <w:pBdr>
          <w:bottom w:val="single" w:color="1F3864" w:sz="8" w:space="4"/>
        </w:pBdr>
        <w:spacing w:after="80" w:before="260"/>
      </w:pPr>
      <w:r>
        <w:rPr>
          <w:rFonts w:ascii="Arial" w:cs="Arial" w:eastAsia="Arial" w:hAnsi="Arial"/>
          <w:b/>
          <w:bCs/>
          <w:color w:val="1F3864"/>
          <w:sz w:val="26"/>
          <w:szCs w:val="26"/>
        </w:rPr>
        <w:t xml:space="preserve">INFORMATIONS COMPLÉMENTAIRES</w:t>
      </w:r>
    </w:p>
    <w:tbl>
      <w:tblPr>
        <w:tblW w:type="dxa" w:w="9706"/>
        <w:tblBorders>
          <w:top w:val="none"/>
          <w:left w:val="none"/>
          <w:bottom w:val="none"/>
          <w:right w:val="none"/>
          <w:insideH w:val="single" w:color="auto" w:sz="4"/>
          <w:insideV w:val="single" w:color="auto" w:sz="4"/>
        </w:tblBorders>
      </w:tblPr>
      <w:tblGrid>
        <w:gridCol w:w="2200"/>
        <w:gridCol w:w="7506"/>
      </w:tblGrid>
      <w:tr>
        <w:tc>
          <w:tcPr>
            <w:tcW w:type="dxa" w:w="2200"/>
            <w:tcBorders>
              <w:top w:val="none"/>
              <w:left w:val="none"/>
              <w:bottom w:val="none"/>
              <w:right w:val="none"/>
            </w:tcBorders>
          </w:tcPr>
          <w:p>
            <w:r>
              <w:rPr>
                <w:rFonts w:ascii="Arial" w:cs="Arial" w:eastAsia="Arial" w:hAnsi="Arial"/>
                <w:b/>
                <w:bCs/>
                <w:color w:val="1F3864"/>
                <w:sz w:val="20"/>
                <w:szCs w:val="20"/>
              </w:rPr>
              <w:t xml:space="preserve">Statut :</w:t>
            </w:r>
          </w:p>
        </w:tc>
        <w:tc>
          <w:tcPr>
            <w:tcW w:type="dxa" w:w="7160"/>
            <w:tcBorders>
              <w:top w:val="none"/>
              <w:left w:val="none"/>
              <w:bottom w:val="none"/>
              <w:right w:val="none"/>
            </w:tcBorders>
          </w:tcPr>
          <w:p>
            <w:r>
              <w:rPr>
                <w:rFonts w:ascii="Arial" w:cs="Arial" w:eastAsia="Arial" w:hAnsi="Arial"/>
                <w:sz w:val="20"/>
                <w:szCs w:val="20"/>
              </w:rPr>
              <w:t xml:space="preserve">Résident permanent du Canada</w:t>
            </w:r>
          </w:p>
        </w:tc>
      </w:tr>
      <w:tr>
        <w:tc>
          <w:tcPr>
            <w:tcW w:type="dxa" w:w="2200"/>
            <w:tcBorders>
              <w:top w:val="none"/>
              <w:left w:val="none"/>
              <w:bottom w:val="none"/>
              <w:right w:val="none"/>
            </w:tcBorders>
          </w:tcPr>
          <w:p>
            <w:r>
              <w:rPr>
                <w:rFonts w:ascii="Arial" w:cs="Arial" w:eastAsia="Arial" w:hAnsi="Arial"/>
                <w:b/>
                <w:bCs/>
                <w:color w:val="1F3864"/>
                <w:sz w:val="20"/>
                <w:szCs w:val="20"/>
              </w:rPr>
              <w:t xml:space="preserve">Langues :</w:t>
            </w:r>
          </w:p>
        </w:tc>
        <w:tc>
          <w:tcPr>
            <w:tcW w:type="dxa" w:w="7160"/>
            <w:tcBorders>
              <w:top w:val="none"/>
              <w:left w:val="none"/>
              <w:bottom w:val="none"/>
              <w:right w:val="none"/>
            </w:tcBorders>
          </w:tcPr>
          <w:p>
            <w:r>
              <w:rPr>
                <w:rFonts w:ascii="Arial" w:cs="Arial" w:eastAsia="Arial" w:hAnsi="Arial"/>
                <w:sz w:val="20"/>
                <w:szCs w:val="20"/>
              </w:rPr>
              <w:t xml:space="preserve">Français (langue maternelle)</w:t>
            </w:r>
          </w:p>
        </w:tc>
      </w:tr>
      <w:tr>
        <w:tc>
          <w:tcPr>
            <w:tcW w:type="dxa" w:w="2200"/>
            <w:tcBorders>
              <w:top w:val="none"/>
              <w:left w:val="none"/>
              <w:bottom w:val="none"/>
              <w:right w:val="none"/>
            </w:tcBorders>
          </w:tcPr>
          <w:p>
            <w:r>
              <w:rPr>
                <w:rFonts w:ascii="Arial" w:cs="Arial" w:eastAsia="Arial" w:hAnsi="Arial"/>
                <w:b/>
                <w:bCs/>
                <w:color w:val="1F3864"/>
                <w:sz w:val="20"/>
                <w:szCs w:val="20"/>
              </w:rPr>
              <w:t xml:space="preserve">Disponibilité :</w:t>
            </w:r>
          </w:p>
        </w:tc>
        <w:tc>
          <w:tcPr>
            <w:tcW w:type="dxa" w:w="7160"/>
            <w:tcBorders>
              <w:top w:val="none"/>
              <w:left w:val="none"/>
              <w:bottom w:val="none"/>
              <w:right w:val="none"/>
            </w:tcBorders>
          </w:tcPr>
          <w:p>
            <w:r>
              <w:rPr>
                <w:rFonts w:ascii="Arial" w:cs="Arial" w:eastAsia="Arial" w:hAnsi="Arial"/>
                <w:sz w:val="20"/>
                <w:szCs w:val="20"/>
              </w:rPr>
              <w:t xml:space="preserve">Immédiate – flexible sur les horaires</w:t>
            </w:r>
          </w:p>
        </w:tc>
      </w:tr>
      <w:tr>
        <w:tc>
          <w:tcPr>
            <w:tcW w:type="dxa" w:w="2200"/>
            <w:tcBorders>
              <w:top w:val="none"/>
              <w:left w:val="none"/>
              <w:bottom w:val="none"/>
              <w:right w:val="none"/>
            </w:tcBorders>
          </w:tcPr>
          <w:p>
            <w:r>
              <w:rPr>
                <w:rFonts w:ascii="Arial" w:cs="Arial" w:eastAsia="Arial" w:hAnsi="Arial"/>
                <w:b/>
                <w:bCs/>
                <w:color w:val="1F3864"/>
                <w:sz w:val="20"/>
                <w:szCs w:val="20"/>
              </w:rPr>
              <w:t xml:space="preserve">Localisation :</w:t>
            </w:r>
          </w:p>
        </w:tc>
        <w:tc>
          <w:tcPr>
            <w:tcW w:type="dxa" w:w="7160"/>
            <w:tcBorders>
              <w:top w:val="none"/>
              <w:left w:val="none"/>
              <w:bottom w:val="none"/>
              <w:right w:val="none"/>
            </w:tcBorders>
          </w:tcPr>
          <w:p>
            <w:r>
              <w:rPr>
                <w:rFonts w:ascii="Arial" w:cs="Arial" w:eastAsia="Arial" w:hAnsi="Arial"/>
                <w:sz w:val="20"/>
                <w:szCs w:val="20"/>
              </w:rPr>
              <w:t xml:space="preserve">Montréal, QC – mobilité dans le Grand Montréal</w:t>
            </w:r>
          </w:p>
        </w:tc>
      </w:tr>
    </w:tbl>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2026-06-15T02:00:13.754Z</dcterms:created>
  <dcterms:modified xsi:type="dcterms:W3CDTF">2026-06-15T02:00:13.755Z</dcterms:modified>
</cp:coreProperties>
</file>

<file path=docProps/custom.xml><?xml version="1.0" encoding="utf-8"?>
<Properties xmlns="http://schemas.openxmlformats.org/officeDocument/2006/custom-properties" xmlns:vt="http://schemas.openxmlformats.org/officeDocument/2006/docPropsVTypes"/>
</file>