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ptos Display" w:hAnsi="Aptos Display"/>
          <w:b/>
          <w:color w:val="1C354A"/>
          <w:sz w:val="38"/>
        </w:rPr>
        <w:t>GARY DUFOUR</w:t>
      </w:r>
    </w:p>
    <w:p>
      <w:pPr>
        <w:spacing w:after="20"/>
        <w:jc w:val="center"/>
      </w:pPr>
      <w:r>
        <w:rPr>
          <w:rFonts w:ascii="Aptos Display" w:hAnsi="Aptos Display"/>
          <w:b/>
          <w:color w:val="415869"/>
          <w:sz w:val="21"/>
        </w:rPr>
        <w:t>Gestionnaire principal - Infrastructures, fiabilité et soutien opérationnel</w:t>
      </w:r>
    </w:p>
    <w:p>
      <w:pPr>
        <w:spacing w:after="100"/>
        <w:jc w:val="center"/>
      </w:pPr>
      <w:r>
        <w:rPr>
          <w:rFonts w:ascii="Aptos" w:hAnsi="Aptos"/>
          <w:color w:val="505050"/>
          <w:sz w:val="17"/>
        </w:rPr>
        <w:t>Canada (Québec) • 514-970-0345 • garydufour@outlook.com • linkedin.com/in/gary-dufour-6690ab3a</w:t>
      </w:r>
    </w:p>
    <w:p>
      <w:pPr>
        <w:pStyle w:val="Heading1"/>
      </w:pPr>
      <w:r>
        <w:t>PROFIL DE GESTION</w:t>
      </w:r>
    </w:p>
    <w:p>
      <w:pPr>
        <w:spacing w:line="245" w:lineRule="auto"/>
      </w:pPr>
      <w:r>
        <w:t>Gestionnaire principal comptant plus de 20 ans d’expérience progressive en leadership dans les domaines des infrastructures critiques, des bâtiments, du secteur manufacturier et des opérations réglementées. Reconnu pour piloter les stratégies de maintenance et de fiabilité, coordonner des équipes spécialisées et des entrepreneurs, gérer les risques opérationnels et assurer la continuité dans des environnements où un arrêt de service a des conséquences immédiates. Dans mon rôle actuel, mes responsabilités couvrent des systèmes complexes de bâtiments et d’infrastructures soutenant environ 350 autobus de transport urbain et plus de 1 200 employés. Bilingue français-anglais, avec un style de leadership structuré axé sur la sécurité, l’imputabilité, la fiabilité des actifs, l’excellence opérationnelle et la coordination interfonctionnelle.</w:t>
      </w:r>
    </w:p>
    <w:p>
      <w:pPr>
        <w:pStyle w:val="Heading1"/>
      </w:pPr>
      <w:r>
        <w:t>COMPÉTENCES CLÉS</w:t>
      </w:r>
    </w:p>
    <w:tbl>
      <w:tblPr>
        <w:tblW w:type="auto" w:w="0"/>
        <w:tblLayout w:type="autofit"/>
        <w:tblLook w:firstColumn="1" w:firstRow="1" w:lastColumn="0" w:lastRow="0" w:noHBand="0" w:noVBand="1" w:val="04A0"/>
      </w:tblPr>
      <w:tblGrid>
        <w:gridCol w:w="3456"/>
        <w:gridCol w:w="3456"/>
        <w:gridCol w:w="3456"/>
      </w:tblGrid>
      <w:tr>
        <w:tc>
          <w:tcPr>
            <w:tcW w:type="dxa" w:w="3456"/>
            <w:tcMar>
              <w:top w:w="15" w:type="dxa"/>
              <w:start w:w="40" w:type="dxa"/>
              <w:bottom w:w="15" w:type="dxa"/>
              <w:end w:w="40" w:type="dxa"/>
            </w:tcMar>
          </w:tcPr>
          <w:p>
            <w:pPr>
              <w:spacing w:after="0"/>
            </w:pPr>
            <w:r>
              <w:rPr>
                <w:rFonts w:ascii="Aptos" w:hAnsi="Aptos"/>
                <w:sz w:val="17"/>
              </w:rPr>
              <w:t>• Leadership opérationnel et gouvernance</w:t>
            </w:r>
          </w:p>
        </w:tc>
        <w:tc>
          <w:tcPr>
            <w:tcW w:type="dxa" w:w="3456"/>
            <w:tcMar>
              <w:top w:w="15" w:type="dxa"/>
              <w:start w:w="40" w:type="dxa"/>
              <w:bottom w:w="15" w:type="dxa"/>
              <w:end w:w="40" w:type="dxa"/>
            </w:tcMar>
          </w:tcPr>
          <w:p>
            <w:pPr>
              <w:spacing w:after="0"/>
            </w:pPr>
            <w:r>
              <w:rPr>
                <w:rFonts w:ascii="Aptos" w:hAnsi="Aptos"/>
                <w:sz w:val="17"/>
              </w:rPr>
              <w:t>• Infrastructures critiques et bâtiments</w:t>
            </w:r>
          </w:p>
        </w:tc>
        <w:tc>
          <w:tcPr>
            <w:tcW w:type="dxa" w:w="3456"/>
            <w:tcMar>
              <w:top w:w="15" w:type="dxa"/>
              <w:start w:w="40" w:type="dxa"/>
              <w:bottom w:w="15" w:type="dxa"/>
              <w:end w:w="40" w:type="dxa"/>
            </w:tcMar>
          </w:tcPr>
          <w:p>
            <w:pPr>
              <w:spacing w:after="0"/>
            </w:pPr>
            <w:r>
              <w:rPr>
                <w:rFonts w:ascii="Aptos" w:hAnsi="Aptos"/>
                <w:sz w:val="17"/>
              </w:rPr>
              <w:t>• Stratégie de maintenance et fiabilité</w:t>
            </w:r>
          </w:p>
        </w:tc>
      </w:tr>
      <w:tr>
        <w:tc>
          <w:tcPr>
            <w:tcW w:type="dxa" w:w="3456"/>
            <w:tcMar>
              <w:top w:w="15" w:type="dxa"/>
              <w:start w:w="40" w:type="dxa"/>
              <w:bottom w:w="15" w:type="dxa"/>
              <w:end w:w="40" w:type="dxa"/>
            </w:tcMar>
          </w:tcPr>
          <w:p>
            <w:pPr>
              <w:spacing w:after="0"/>
            </w:pPr>
            <w:r>
              <w:rPr>
                <w:rFonts w:ascii="Aptos" w:hAnsi="Aptos"/>
                <w:sz w:val="17"/>
              </w:rPr>
              <w:t>• Gestion des actifs et cycle de vie</w:t>
            </w:r>
          </w:p>
        </w:tc>
        <w:tc>
          <w:tcPr>
            <w:tcW w:type="dxa" w:w="3456"/>
            <w:tcMar>
              <w:top w:w="15" w:type="dxa"/>
              <w:start w:w="40" w:type="dxa"/>
              <w:bottom w:w="15" w:type="dxa"/>
              <w:end w:w="40" w:type="dxa"/>
            </w:tcMar>
          </w:tcPr>
          <w:p>
            <w:pPr>
              <w:spacing w:after="0"/>
            </w:pPr>
            <w:r>
              <w:rPr>
                <w:rFonts w:ascii="Aptos" w:hAnsi="Aptos"/>
                <w:sz w:val="17"/>
              </w:rPr>
              <w:t>• GMAO / gestion de maintenance</w:t>
            </w:r>
          </w:p>
        </w:tc>
        <w:tc>
          <w:tcPr>
            <w:tcW w:type="dxa" w:w="3456"/>
            <w:tcMar>
              <w:top w:w="15" w:type="dxa"/>
              <w:start w:w="40" w:type="dxa"/>
              <w:bottom w:w="15" w:type="dxa"/>
              <w:end w:w="40" w:type="dxa"/>
            </w:tcMar>
          </w:tcPr>
          <w:p>
            <w:pPr>
              <w:spacing w:after="0"/>
            </w:pPr>
            <w:r>
              <w:rPr>
                <w:rFonts w:ascii="Aptos" w:hAnsi="Aptos"/>
                <w:sz w:val="17"/>
              </w:rPr>
              <w:t>• Gestion des entrepreneurs et des fournisseurs</w:t>
            </w:r>
          </w:p>
        </w:tc>
      </w:tr>
      <w:tr>
        <w:tc>
          <w:tcPr>
            <w:tcW w:type="dxa" w:w="3456"/>
            <w:tcMar>
              <w:top w:w="15" w:type="dxa"/>
              <w:start w:w="40" w:type="dxa"/>
              <w:bottom w:w="15" w:type="dxa"/>
              <w:end w:w="40" w:type="dxa"/>
            </w:tcMar>
          </w:tcPr>
          <w:p>
            <w:pPr>
              <w:spacing w:after="0"/>
            </w:pPr>
            <w:r>
              <w:rPr>
                <w:rFonts w:ascii="Aptos" w:hAnsi="Aptos"/>
                <w:sz w:val="17"/>
              </w:rPr>
              <w:t>• Mise en service et préparation opérationnelle</w:t>
            </w:r>
          </w:p>
        </w:tc>
        <w:tc>
          <w:tcPr>
            <w:tcW w:type="dxa" w:w="3456"/>
            <w:tcMar>
              <w:top w:w="15" w:type="dxa"/>
              <w:start w:w="40" w:type="dxa"/>
              <w:bottom w:w="15" w:type="dxa"/>
              <w:end w:w="40" w:type="dxa"/>
            </w:tcMar>
          </w:tcPr>
          <w:p>
            <w:pPr>
              <w:spacing w:after="0"/>
            </w:pPr>
            <w:r>
              <w:rPr>
                <w:rFonts w:ascii="Aptos" w:hAnsi="Aptos"/>
                <w:sz w:val="17"/>
              </w:rPr>
              <w:t>• Amélioration continue et performance</w:t>
            </w:r>
          </w:p>
        </w:tc>
        <w:tc>
          <w:tcPr>
            <w:tcW w:type="dxa" w:w="3456"/>
            <w:tcMar>
              <w:top w:w="15" w:type="dxa"/>
              <w:start w:w="40" w:type="dxa"/>
              <w:bottom w:w="15" w:type="dxa"/>
              <w:end w:w="40" w:type="dxa"/>
            </w:tcMar>
          </w:tcPr>
          <w:p>
            <w:pPr>
              <w:spacing w:after="0"/>
            </w:pPr>
            <w:r>
              <w:rPr>
                <w:rFonts w:ascii="Aptos" w:hAnsi="Aptos"/>
                <w:sz w:val="17"/>
              </w:rPr>
              <w:t>• Santé-sécurité et conformité</w:t>
            </w:r>
          </w:p>
        </w:tc>
      </w:tr>
      <w:tr>
        <w:tc>
          <w:tcPr>
            <w:tcW w:type="dxa" w:w="3456"/>
            <w:tcMar>
              <w:top w:w="15" w:type="dxa"/>
              <w:start w:w="40" w:type="dxa"/>
              <w:bottom w:w="15" w:type="dxa"/>
              <w:end w:w="40" w:type="dxa"/>
            </w:tcMar>
          </w:tcPr>
          <w:p>
            <w:pPr>
              <w:spacing w:after="0"/>
            </w:pPr>
            <w:r>
              <w:rPr>
                <w:rFonts w:ascii="Aptos" w:hAnsi="Aptos"/>
                <w:sz w:val="17"/>
              </w:rPr>
              <w:t>• Coordination interfonctionnelle</w:t>
            </w:r>
          </w:p>
        </w:tc>
        <w:tc>
          <w:tcPr>
            <w:tcW w:type="dxa" w:w="3456"/>
            <w:tcMar>
              <w:top w:w="15" w:type="dxa"/>
              <w:start w:w="40" w:type="dxa"/>
              <w:bottom w:w="15" w:type="dxa"/>
              <w:end w:w="40" w:type="dxa"/>
            </w:tcMar>
          </w:tcPr>
          <w:p>
            <w:pPr>
              <w:spacing w:after="0"/>
            </w:pPr>
            <w:r>
              <w:rPr>
                <w:rFonts w:ascii="Aptos" w:hAnsi="Aptos"/>
                <w:sz w:val="17"/>
              </w:rPr>
              <w:t>• Leadership et développement d’équipes</w:t>
            </w:r>
          </w:p>
        </w:tc>
        <w:tc>
          <w:tcPr>
            <w:tcW w:type="dxa" w:w="3456"/>
            <w:tcMar>
              <w:top w:w="15" w:type="dxa"/>
              <w:start w:w="40" w:type="dxa"/>
              <w:bottom w:w="15" w:type="dxa"/>
              <w:end w:w="40" w:type="dxa"/>
            </w:tcMar>
          </w:tcPr>
          <w:p>
            <w:pPr>
              <w:spacing w:after="0"/>
            </w:pPr>
            <w:r>
              <w:rPr>
                <w:rFonts w:ascii="Aptos" w:hAnsi="Aptos"/>
                <w:sz w:val="17"/>
              </w:rPr>
              <w:t>• Communication bilingue en contexte de gestion</w:t>
            </w:r>
          </w:p>
        </w:tc>
      </w:tr>
    </w:tbl>
    <w:p>
      <w:pPr>
        <w:pStyle w:val="Heading1"/>
      </w:pPr>
      <w:r>
        <w:t>EXPÉRIENCE PROFESSIONNELLE</w:t>
      </w:r>
    </w:p>
    <w:p>
      <w:pPr>
        <w:spacing w:before="80" w:after="0"/>
      </w:pPr>
      <w:r>
        <w:rPr>
          <w:rFonts w:ascii="Aptos" w:hAnsi="Aptos"/>
          <w:b/>
          <w:sz w:val="20"/>
        </w:rPr>
        <w:t>Gestionnaire Maintenance et Fiabilité</w:t>
      </w:r>
      <w:r>
        <w:rPr>
          <w:rFonts w:ascii="Aptos" w:hAnsi="Aptos"/>
          <w:color w:val="505050"/>
          <w:sz w:val="18"/>
        </w:rPr>
        <w:t xml:space="preserve">  |  Société de transport de Laval - Laval, QC  |  2023-Présent</w:t>
      </w:r>
    </w:p>
    <w:p>
      <w:pPr>
        <w:spacing w:after="40" w:line="240" w:lineRule="auto"/>
      </w:pPr>
      <w:r>
        <w:rPr>
          <w:rFonts w:ascii="Aptos" w:hAnsi="Aptos"/>
          <w:sz w:val="18"/>
        </w:rPr>
        <w:t>Responsabilité de gestion pour la gouvernance, la fiabilité et la modernisation d’infrastructures critiques soutenant une importante organisation de transport collectif.</w:t>
      </w:r>
    </w:p>
    <w:p>
      <w:pPr>
        <w:pStyle w:val="ListBullet"/>
        <w:spacing w:after="50" w:line="240" w:lineRule="auto"/>
      </w:pPr>
      <w:r>
        <w:rPr>
          <w:rFonts w:ascii="Aptos" w:hAnsi="Aptos"/>
          <w:sz w:val="18"/>
        </w:rPr>
        <w:t>Dirige la stratégie de maintenance, les priorités de maintenance préventive, la gouvernance des entrepreneurs et la validation des mises en service pour les installations critiques et les infrastructures de soutien à la flotte.</w:t>
      </w:r>
    </w:p>
    <w:p>
      <w:pPr>
        <w:pStyle w:val="ListBullet"/>
        <w:spacing w:after="50" w:line="240" w:lineRule="auto"/>
      </w:pPr>
      <w:r>
        <w:rPr>
          <w:rFonts w:ascii="Aptos" w:hAnsi="Aptos"/>
          <w:sz w:val="18"/>
        </w:rPr>
        <w:t>Assure la continuité opérationnelle des réseaux de distribution électrique, des infrastructures de diesel et de carburant, des bornes de recharge pour autobus électriques, des systèmes CVAC, des réseaux d’eau, de l’automatisation des bâtiments, des alarmes, des systèmes de sécurité et des infrastructures dépendantes des TI.</w:t>
      </w:r>
    </w:p>
    <w:p>
      <w:pPr>
        <w:pStyle w:val="ListBullet"/>
        <w:spacing w:after="50" w:line="240" w:lineRule="auto"/>
      </w:pPr>
      <w:r>
        <w:rPr>
          <w:rFonts w:ascii="Aptos" w:hAnsi="Aptos"/>
          <w:sz w:val="18"/>
        </w:rPr>
        <w:t>Coordonne les ressources spécialisées internes, les entrepreneurs et les fournisseurs afin de résoudre des enjeux opérationnels complexes, contrôler les risques et maintenir la disponibilité des services.</w:t>
      </w:r>
    </w:p>
    <w:p>
      <w:pPr>
        <w:pStyle w:val="ListBullet"/>
        <w:spacing w:after="50" w:line="240" w:lineRule="auto"/>
      </w:pPr>
      <w:r>
        <w:rPr>
          <w:rFonts w:ascii="Aptos" w:hAnsi="Aptos"/>
          <w:sz w:val="18"/>
        </w:rPr>
        <w:t>Utilise la GMAO et l’information sur les actifs pour structurer le travail, améliorer la fiabilité, soutenir les priorités d’investissement et renforcer les méthodes opérationnelles.</w:t>
      </w:r>
    </w:p>
    <w:p>
      <w:pPr>
        <w:pStyle w:val="ListBullet"/>
        <w:spacing w:after="50" w:line="240" w:lineRule="auto"/>
      </w:pPr>
      <w:r>
        <w:rPr>
          <w:rFonts w:ascii="Aptos" w:hAnsi="Aptos"/>
          <w:sz w:val="18"/>
        </w:rPr>
        <w:t>Soutient la conformité réglementaire, les exigences de santé-sécurité, les initiatives d’amélioration des infrastructures et la préparation opérationnelle dans un environnement à tolérance zéro.</w:t>
      </w:r>
    </w:p>
    <w:p>
      <w:pPr>
        <w:spacing w:before="80" w:after="0"/>
      </w:pPr>
      <w:r>
        <w:rPr>
          <w:rFonts w:ascii="Aptos" w:hAnsi="Aptos"/>
          <w:b/>
          <w:sz w:val="20"/>
        </w:rPr>
        <w:t>Superviseur Exploitation des Bâtiments</w:t>
      </w:r>
      <w:r>
        <w:rPr>
          <w:rFonts w:ascii="Aptos" w:hAnsi="Aptos"/>
          <w:color w:val="505050"/>
          <w:sz w:val="18"/>
        </w:rPr>
        <w:t xml:space="preserve">  |  Société de transport de Laval - Laval, QC  |  2021-2023</w:t>
      </w:r>
    </w:p>
    <w:p>
      <w:pPr>
        <w:spacing w:after="40" w:line="240" w:lineRule="auto"/>
      </w:pPr>
      <w:r>
        <w:rPr>
          <w:rFonts w:ascii="Aptos" w:hAnsi="Aptos"/>
          <w:sz w:val="18"/>
        </w:rPr>
        <w:t>Supervision des opérations de bâtiments et d’infrastructures soutenant les activités quotidiennes du transport collectif.</w:t>
      </w:r>
    </w:p>
    <w:p>
      <w:pPr>
        <w:pStyle w:val="ListBullet"/>
        <w:spacing w:after="50" w:line="240" w:lineRule="auto"/>
      </w:pPr>
      <w:r>
        <w:rPr>
          <w:rFonts w:ascii="Aptos" w:hAnsi="Aptos"/>
          <w:sz w:val="18"/>
        </w:rPr>
        <w:t>Coordination des entrepreneurs et spécialistes responsables des systèmes mécaniques, électriques et structuraux.</w:t>
      </w:r>
    </w:p>
    <w:p>
      <w:pPr>
        <w:pStyle w:val="ListBullet"/>
        <w:spacing w:after="50" w:line="240" w:lineRule="auto"/>
      </w:pPr>
      <w:r>
        <w:rPr>
          <w:rFonts w:ascii="Aptos" w:hAnsi="Aptos"/>
          <w:sz w:val="18"/>
        </w:rPr>
        <w:t>Renforcement de la planification de maintenance préventive et du suivi des actifs à l’aide de la GMAO.</w:t>
      </w:r>
    </w:p>
    <w:p>
      <w:pPr>
        <w:pStyle w:val="ListBullet"/>
        <w:spacing w:after="50" w:line="240" w:lineRule="auto"/>
      </w:pPr>
      <w:r>
        <w:rPr>
          <w:rFonts w:ascii="Aptos" w:hAnsi="Aptos"/>
          <w:sz w:val="18"/>
        </w:rPr>
        <w:t>Maintien de la fiabilité et de la continuité des actifs critiques tout en coordonnant les priorités opérationnelles et les travaux correctifs.</w:t>
      </w:r>
    </w:p>
    <w:p>
      <w:pPr>
        <w:spacing w:before="80" w:after="0"/>
        <w:pageBreakBefore/>
      </w:pPr>
      <w:r>
        <w:rPr>
          <w:rFonts w:ascii="Aptos" w:hAnsi="Aptos"/>
          <w:b/>
          <w:sz w:val="20"/>
        </w:rPr>
        <w:t>Superviseur - Intégration électrique et systèmes</w:t>
      </w:r>
      <w:r>
        <w:rPr>
          <w:rFonts w:ascii="Aptos" w:hAnsi="Aptos"/>
          <w:color w:val="505050"/>
          <w:sz w:val="18"/>
        </w:rPr>
        <w:t xml:space="preserve">  |  Nova Bus (Volvo Group) - Saint-Eustache, QC  |  2018-2021</w:t>
      </w:r>
    </w:p>
    <w:p>
      <w:pPr>
        <w:spacing w:after="40" w:line="240" w:lineRule="auto"/>
      </w:pPr>
      <w:r>
        <w:rPr>
          <w:rFonts w:ascii="Aptos" w:hAnsi="Aptos"/>
          <w:sz w:val="18"/>
        </w:rPr>
        <w:t>Direction d’équipes responsables de l’intégration des systèmes électriques et des systèmes de transport intelligents (STI/ITS) dans un environnement de fabrication d’autobus.</w:t>
      </w:r>
    </w:p>
    <w:p>
      <w:pPr>
        <w:pStyle w:val="ListBullet"/>
        <w:spacing w:after="50" w:line="240" w:lineRule="auto"/>
      </w:pPr>
      <w:r>
        <w:rPr>
          <w:rFonts w:ascii="Aptos" w:hAnsi="Aptos"/>
          <w:sz w:val="18"/>
        </w:rPr>
        <w:t>Coordination de l’installation, de l’intégration, des essais et de la préparation opérationnelle du câblage, des systèmes de caméras et des technologies embarquées.</w:t>
      </w:r>
    </w:p>
    <w:p>
      <w:pPr>
        <w:pStyle w:val="ListBullet"/>
        <w:spacing w:after="50" w:line="240" w:lineRule="auto"/>
      </w:pPr>
      <w:r>
        <w:rPr>
          <w:rFonts w:ascii="Aptos" w:hAnsi="Aptos"/>
          <w:sz w:val="18"/>
        </w:rPr>
        <w:t>Coordination du dépannage et de la résolution d’enjeux techniques et de production avec les spécialistes internes et les fournisseurs externes.</w:t>
      </w:r>
    </w:p>
    <w:p>
      <w:pPr>
        <w:pStyle w:val="ListBullet"/>
        <w:spacing w:after="50" w:line="240" w:lineRule="auto"/>
      </w:pPr>
      <w:r>
        <w:rPr>
          <w:rFonts w:ascii="Aptos" w:hAnsi="Aptos"/>
          <w:sz w:val="18"/>
        </w:rPr>
        <w:t>Assurance de la qualité et de la fonctionnalité des systèmes critiques avant la livraison des véhicules tout en soutenant la continuité de la production.</w:t>
      </w:r>
    </w:p>
    <w:p>
      <w:pPr>
        <w:spacing w:before="80" w:after="0"/>
      </w:pPr>
      <w:r>
        <w:rPr>
          <w:rFonts w:ascii="Aptos" w:hAnsi="Aptos"/>
          <w:b/>
          <w:sz w:val="20"/>
        </w:rPr>
        <w:t>Superviseur de Production</w:t>
      </w:r>
      <w:r>
        <w:rPr>
          <w:rFonts w:ascii="Aptos" w:hAnsi="Aptos"/>
          <w:color w:val="505050"/>
          <w:sz w:val="18"/>
        </w:rPr>
        <w:t xml:space="preserve">  |  Schneider Electric - Brossard, QC  |  2013-2017</w:t>
      </w:r>
    </w:p>
    <w:p>
      <w:pPr>
        <w:spacing w:after="40" w:line="240" w:lineRule="auto"/>
      </w:pPr>
      <w:r>
        <w:rPr>
          <w:rFonts w:ascii="Aptos" w:hAnsi="Aptos"/>
          <w:sz w:val="18"/>
        </w:rPr>
        <w:t>Direction d’équipes de production multidisciplinaires en collaboration étroite avec l’ingénierie et la chaîne d’approvisionnement.</w:t>
      </w:r>
    </w:p>
    <w:p>
      <w:pPr>
        <w:pStyle w:val="ListBullet"/>
        <w:spacing w:after="50" w:line="240" w:lineRule="auto"/>
      </w:pPr>
      <w:r>
        <w:rPr>
          <w:rFonts w:ascii="Aptos" w:hAnsi="Aptos"/>
          <w:sz w:val="18"/>
        </w:rPr>
        <w:t>Responsable de la performance opérationnelle, des gains de productivité et des initiatives d’optimisation des processus dans un environnement manufacturier à haut volume.</w:t>
      </w:r>
    </w:p>
    <w:p>
      <w:pPr>
        <w:spacing w:before="80" w:after="0"/>
      </w:pPr>
      <w:r>
        <w:rPr>
          <w:rFonts w:ascii="Aptos" w:hAnsi="Aptos"/>
          <w:b/>
          <w:sz w:val="20"/>
        </w:rPr>
        <w:t>Planificateur de Production</w:t>
      </w:r>
      <w:r>
        <w:rPr>
          <w:rFonts w:ascii="Aptos" w:hAnsi="Aptos"/>
          <w:color w:val="505050"/>
          <w:sz w:val="18"/>
        </w:rPr>
        <w:t xml:space="preserve">  |  L-3 MAS Canada - Mirabel, QC  |  2012-2013</w:t>
      </w:r>
    </w:p>
    <w:p>
      <w:pPr>
        <w:spacing w:after="40" w:line="240" w:lineRule="auto"/>
      </w:pPr>
      <w:r>
        <w:rPr>
          <w:rFonts w:ascii="Aptos" w:hAnsi="Aptos"/>
          <w:sz w:val="18"/>
        </w:rPr>
        <w:t>Soutien à des programmes de composants aéronautiques exigeant une planification rigoureuse, une documentation et une traçabilité strictes ainsi que le respect des exigences de conformité liées aux systèmes d’aéronefs militaires et aux environnements aéronautiques réglementés.</w:t>
      </w:r>
    </w:p>
    <w:p>
      <w:pPr>
        <w:spacing w:before="80" w:after="0"/>
      </w:pPr>
      <w:r>
        <w:rPr>
          <w:rFonts w:ascii="Aptos" w:hAnsi="Aptos"/>
          <w:b/>
          <w:sz w:val="20"/>
        </w:rPr>
        <w:t>Superviseur de Production</w:t>
      </w:r>
      <w:r>
        <w:rPr>
          <w:rFonts w:ascii="Aptos" w:hAnsi="Aptos"/>
          <w:color w:val="505050"/>
          <w:sz w:val="18"/>
        </w:rPr>
        <w:t xml:space="preserve">  |  Technicolor - Mirabel, QC  |  2002-2011</w:t>
      </w:r>
    </w:p>
    <w:p>
      <w:pPr>
        <w:spacing w:after="40" w:line="240" w:lineRule="auto"/>
      </w:pPr>
      <w:r>
        <w:rPr>
          <w:rFonts w:ascii="Aptos" w:hAnsi="Aptos"/>
          <w:sz w:val="18"/>
        </w:rPr>
        <w:t>Supervision d’équipes de production et coordination des effectifs, de la planification et de la performance opérationnelle dans un environnement technologique à haut volume.</w:t>
      </w:r>
    </w:p>
    <w:p>
      <w:pPr>
        <w:pStyle w:val="Heading1"/>
      </w:pPr>
      <w:r>
        <w:t>FORMATIONS ET CERTIFICATIONS</w:t>
      </w:r>
    </w:p>
    <w:p>
      <w:pPr>
        <w:pStyle w:val="ListBullet"/>
      </w:pPr>
      <w:r>
        <w:rPr>
          <w:rFonts w:ascii="Aptos" w:hAnsi="Aptos"/>
          <w:sz w:val="18"/>
        </w:rPr>
        <w:t>Préparation à la certification Project Management Professional (PMP)® - En cours</w:t>
      </w:r>
      <w:r>
        <w:rPr>
          <w:rFonts w:ascii="Aptos" w:hAnsi="Aptos"/>
          <w:sz w:val="18"/>
        </w:rPr>
        <w:br/>
        <w:t>PMI-Montréal | Montréal, Québec</w:t>
      </w:r>
    </w:p>
    <w:p>
      <w:pPr>
        <w:pStyle w:val="ListBullet"/>
        <w:spacing w:after="50" w:line="240" w:lineRule="auto"/>
      </w:pPr>
      <w:r>
        <w:rPr>
          <w:rFonts w:ascii="Aptos" w:hAnsi="Aptos"/>
          <w:sz w:val="18"/>
        </w:rPr>
        <w:t>École de technologie supérieure (ÉTS) - Formation en inspection de bâtiments (2024)</w:t>
      </w:r>
    </w:p>
    <w:p>
      <w:pPr>
        <w:pStyle w:val="ListBullet"/>
        <w:spacing w:after="50" w:line="240" w:lineRule="auto"/>
      </w:pPr>
      <w:r>
        <w:rPr>
          <w:rFonts w:ascii="Aptos" w:hAnsi="Aptos"/>
          <w:sz w:val="18"/>
        </w:rPr>
        <w:t>ASP Construction - Certification santé et sécurité sur les chantiers (2024)</w:t>
      </w:r>
    </w:p>
    <w:p>
      <w:pPr>
        <w:pStyle w:val="ListBullet"/>
        <w:spacing w:after="50" w:line="240" w:lineRule="auto"/>
      </w:pPr>
      <w:r>
        <w:rPr>
          <w:rFonts w:ascii="Aptos" w:hAnsi="Aptos"/>
          <w:sz w:val="18"/>
        </w:rPr>
        <w:t>University of California, Irvine - Certificats en planification et gestion de projets (2017)</w:t>
      </w:r>
    </w:p>
    <w:p>
      <w:pPr>
        <w:pStyle w:val="ListBullet"/>
        <w:spacing w:after="50" w:line="240" w:lineRule="auto"/>
      </w:pPr>
      <w:r>
        <w:rPr>
          <w:rFonts w:ascii="Aptos" w:hAnsi="Aptos"/>
          <w:sz w:val="18"/>
        </w:rPr>
        <w:t>Certification Secouriste - Norme québécoise de premiers soins en milieu de travail</w:t>
      </w:r>
    </w:p>
    <w:p>
      <w:pPr>
        <w:pStyle w:val="ListBullet"/>
        <w:spacing w:after="50" w:line="240" w:lineRule="auto"/>
      </w:pPr>
      <w:r>
        <w:rPr>
          <w:rFonts w:ascii="Aptos" w:hAnsi="Aptos"/>
          <w:sz w:val="18"/>
        </w:rPr>
        <w:t>Formation Sentinelle - Sensibilisation à la prévention du suicide en milieu de travail</w:t>
      </w:r>
    </w:p>
    <w:p>
      <w:pPr>
        <w:pStyle w:val="Heading1"/>
      </w:pPr>
      <w:r>
        <w:t>INFORMATIONS COMPLÉMENTAIRES</w:t>
      </w:r>
    </w:p>
    <w:p>
      <w:pPr>
        <w:spacing w:after="40"/>
      </w:pPr>
      <w:r>
        <w:t>Citoyen canadien • Passeport valide • Français et anglais • À l’aise avec les déplacements et les environnements opérationnels exigeant autonomie, jugement et haut niveau de confiance.</w:t>
      </w:r>
    </w:p>
    <w:p>
      <w:r>
        <w:t>Expérience antérieure : chef d’équipe pour des opérations promotionnelles nationales au sein de l’équipe Players Racing Team (série CART), avec coordination d’événements publics et d’activités de démonstration à travers le Canada.</w:t>
      </w:r>
    </w:p>
    <w:sectPr w:rsidR="00FC693F" w:rsidRPr="0006063C" w:rsidSect="00034616">
      <w:footerReference w:type="default" r:id="rId9"/>
      <w:pgSz w:w="12240" w:h="15840"/>
      <w:pgMar w:top="749" w:right="936" w:bottom="749"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87878"/>
        <w:sz w:val="15"/>
      </w:rPr>
      <w:t>Gary Dufour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Aptos Display" w:hAnsi="Aptos Display"/>
      <w:b/>
      <w:bCs/>
      <w:color w:val="234059"/>
      <w:sz w:val="2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ptos Display" w:hAnsi="Aptos Display"/>
      <w:b/>
      <w:bCs/>
      <w:color w:val="234059"/>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