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  <w:lang w:val="en-US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C U R R I C U L U M       V I T A E</w:t>
      </w: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"/>
          <w:sz w:val="22"/>
          <w:szCs w:val="22"/>
        </w:rPr>
      </w:pPr>
      <w:r>
        <w:rPr>
          <w:rStyle w:val="Aucun"/>
          <w:rFonts w:ascii="Geneva" w:hAnsi="Geneva"/>
          <w:sz w:val="28"/>
          <w:szCs w:val="28"/>
          <w:rtl w:val="0"/>
          <w:lang w:val="fr-FR"/>
        </w:rPr>
        <w:t>Michelle Lauzon</w:t>
      </w: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jc w:val="center"/>
        <w:rPr>
          <w:rStyle w:val="Aucun A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Renseignements g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n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raux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al, 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Adresse : 11806, rue Filion,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 H4J 1T3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phone cellulaire  514 717-1954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Citoyennet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: canadienne</w:t>
      </w: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Formation acad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mique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Cours 1 an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temps plein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en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urgence, 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Montmorency, 2012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Formation 2 weekends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en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urgence, 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Montmorency, octobre 2011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Entrepris un certificat de premier cycle en administration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l'UQAM, septembre 1992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AEC (Attestation d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tudes coll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giales) en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nie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lectrique en 1999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Coll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ge Ahuntsic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cole primaire (5 ans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 xml:space="preserve">ais et 2 ans en anglais)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St Rita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s School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cole secondaire (anglais)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St Pius X High School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Cours sp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cialis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en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tariat juridique (2 ans) </w:t>
      </w:r>
      <w:r>
        <w:rPr>
          <w:rStyle w:val="Aucun"/>
          <w:sz w:val="22"/>
          <w:szCs w:val="22"/>
          <w:rtl w:val="0"/>
          <w:lang w:val="fr-FR"/>
        </w:rPr>
        <w:t>– É</w:t>
      </w:r>
      <w:r>
        <w:rPr>
          <w:rStyle w:val="Aucun"/>
          <w:sz w:val="22"/>
          <w:szCs w:val="22"/>
          <w:rtl w:val="0"/>
          <w:lang w:val="fr-FR"/>
        </w:rPr>
        <w:t>cole progressive</w:t>
      </w: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Je poss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de tr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bien ma grammaire et mon vocabulaire autant en anglais qu'en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ais.</w:t>
      </w: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Formation professionnelle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u w:val="single"/>
        </w:rPr>
      </w:pP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Congr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femmes d'affaires du 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 - 1994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fi performance - membre d'une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quipe d'am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lioration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Gestion du temps - Firme Priorit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plus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L'action passe par la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daction -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Approche client-fournisseur - groupe TAI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Collaboratrice administrative - groupe CFC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Gestion efficace de la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 - groupe CFC pour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minaire de communication visuelle - Duocom,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R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les et comportements -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Session Cadres de premier niveau - HQ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Dipl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me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partiteur de services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 911,  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gep Montmorency, avril 2012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Formation soins palliatifs - CIUSS Nord-de-l</w:t>
      </w:r>
      <w:r>
        <w:rPr>
          <w:rStyle w:val="Aucun"/>
          <w:sz w:val="22"/>
          <w:szCs w:val="22"/>
          <w:rtl w:val="0"/>
          <w:lang w:val="fr-FR"/>
        </w:rPr>
        <w:t>’î</w:t>
      </w:r>
      <w:r>
        <w:rPr>
          <w:rStyle w:val="Aucun"/>
          <w:sz w:val="22"/>
          <w:szCs w:val="22"/>
          <w:rtl w:val="0"/>
          <w:lang w:val="fr-FR"/>
        </w:rPr>
        <w:t>le de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  - novembre 2015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lections Canada, 3 formations : superviseur, scrutateur et agent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inscription en septembre 2021</w:t>
      </w:r>
    </w:p>
    <w:p>
      <w:pPr>
        <w:pStyle w:val="Normal.0"/>
        <w:tabs>
          <w:tab w:val="left" w:pos="6096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Divers cours en informatique Word, Excel et Powerpoint en juin et septembre 2022</w:t>
      </w:r>
    </w:p>
    <w:p>
      <w:pPr>
        <w:pStyle w:val="Normal.0"/>
        <w:tabs>
          <w:tab w:val="left" w:pos="6096"/>
        </w:tabs>
        <w:rPr>
          <w:rStyle w:val="Aucun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Exp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rience de travail</w:t>
      </w:r>
    </w:p>
    <w:p>
      <w:pPr>
        <w:pStyle w:val="Normal.0"/>
        <w:tabs>
          <w:tab w:val="left" w:pos="6096"/>
        </w:tabs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Poste : </w:t>
        <w:tab/>
        <w:t>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cembre 2021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mai 2022 programme Je contribue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agent administratif,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pistage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Sacr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-coeur  (de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cembre 2021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vrier 2022)</w:t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Centrale 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phonique pour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Sacr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-coeur et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Albert-Pr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vost (de 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2022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mai 2022)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 A"/>
        </w:rPr>
        <w:tab/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Superviseur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lections Canada le 20 septembre 2021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Responsable de toute l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quipe de travail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2013-2018</w:t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Visite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un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sident 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Notre-dame de la Merci 2 fois/semaine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2011 et 2012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Dame de compagnie pour personne 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domicile 1 jr/sem,  Ahuntsic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2009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fin mai 2010 (retraite)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Aviseur, Direction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tique, Complexe Desjardins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Conseiller, supporter les clients et partenaires dans le cadre des programmes d'efficacit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 de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Affaires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Assurer la relation d'affaires en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 pour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Affaires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ao</w:t>
      </w:r>
      <w:r>
        <w:rPr>
          <w:rStyle w:val="Aucun"/>
          <w:sz w:val="22"/>
          <w:szCs w:val="22"/>
          <w:rtl w:val="0"/>
          <w:lang w:val="fr-FR"/>
        </w:rPr>
        <w:t>û</w:t>
      </w:r>
      <w:r>
        <w:rPr>
          <w:rStyle w:val="Aucun"/>
          <w:sz w:val="22"/>
          <w:szCs w:val="22"/>
          <w:rtl w:val="0"/>
          <w:lang w:val="fr-FR"/>
        </w:rPr>
        <w:t xml:space="preserve">t 2003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mai 2009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sentante ventes, Ventes et support technique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Territoire </w:t>
      </w:r>
      <w:r>
        <w:rPr>
          <w:rStyle w:val="Aucun"/>
          <w:sz w:val="22"/>
          <w:szCs w:val="22"/>
          <w:rtl w:val="0"/>
          <w:lang w:val="fr-FR"/>
        </w:rPr>
        <w:t>Î</w:t>
      </w:r>
      <w:r>
        <w:rPr>
          <w:rStyle w:val="Aucun"/>
          <w:sz w:val="22"/>
          <w:szCs w:val="22"/>
          <w:rtl w:val="0"/>
          <w:lang w:val="fr-FR"/>
        </w:rPr>
        <w:t>le-de-Montr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al, 8181 de l'Esplanade, 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travail et sur la route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rencontrer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Affaires afin d'optimiser leur facture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lectrique, promouvoir le programme en efficacit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>nerg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tique, en faire le suivi lorsque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 xml:space="preserve">t d'une demande d'appui financier, promouvoir Visilec et valider comment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taient les relations avec 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bec.  Invitation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Affairs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divers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nements les soirs et fins de semaine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99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ao</w:t>
      </w:r>
      <w:r>
        <w:rPr>
          <w:rStyle w:val="Aucun"/>
          <w:sz w:val="22"/>
          <w:szCs w:val="22"/>
          <w:rtl w:val="0"/>
          <w:lang w:val="fr-FR"/>
        </w:rPr>
        <w:t>û</w:t>
      </w:r>
      <w:r>
        <w:rPr>
          <w:rStyle w:val="Aucun"/>
          <w:sz w:val="22"/>
          <w:szCs w:val="22"/>
          <w:rtl w:val="0"/>
          <w:lang w:val="fr-FR"/>
        </w:rPr>
        <w:t xml:space="preserve">t 2003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sentante services apr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s-vente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 xml:space="preserve">le d'affaires, Territoire </w:t>
      </w:r>
      <w:r>
        <w:rPr>
          <w:rStyle w:val="Aucun"/>
          <w:sz w:val="22"/>
          <w:szCs w:val="22"/>
          <w:rtl w:val="0"/>
          <w:lang w:val="fr-FR"/>
        </w:rPr>
        <w:t>Î</w:t>
      </w:r>
      <w:r>
        <w:rPr>
          <w:rStyle w:val="Aucun"/>
          <w:sz w:val="22"/>
          <w:szCs w:val="22"/>
          <w:rtl w:val="0"/>
          <w:lang w:val="fr-FR"/>
        </w:rPr>
        <w:t>le-de-Montr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 xml:space="preserve">tarification des comptes commerciaux, alimentation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 des nouveaux abonn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et modification aux installations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lectriques existantes.  Rencontres avec divers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intervenants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l'interne et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l'externe pour la bonne marche des dossiers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rencontres de chantiers, j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accompagnais client du chantier de construction jusqu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au jour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 xml:space="preserve">du raccordement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98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novembre 99 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tudiante 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gep Ahuntsic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temps plein)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"/>
          <w:sz w:val="22"/>
          <w:szCs w:val="22"/>
          <w:rtl w:val="0"/>
        </w:rPr>
        <w:tab/>
        <w:t>obtention d'une AEC (attestation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tudes coll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giales) en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nie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lectrique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94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98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 recouvrement - enqu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Service Perception et Recouvrement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fait des recherches et enqu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te afin de recouvrer les comptes jusque-l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jug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irr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couvrables.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Travail direct avec la client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le et les organismes concern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Coach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employ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 A"/>
        </w:rPr>
        <w:tab/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92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octobre 94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  <w:tab/>
        <w:tab/>
        <w:tab/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direction pour Michel De Broux, directeur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Planification et Valorisation de la technologie, groupe Technologie et Ireq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toutes les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 xml:space="preserve">ches qui se rattachent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ce poste.  Cette direction regroupe six unit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administratives.  Comptes-rendus des comit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de gestion de la direction, coordination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et suivi des dossiers, 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unions.  Responsable de l'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tage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Place 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lix-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Martin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 Canderel, administrateur de l'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difice.  Membre d'une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quipe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d'am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lioration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fi performance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90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mai 92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direction pour Hugues St-Onge, directeur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Planification de la technologie, groupe Technologies et Affaires internationales (TAI)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responsable de toutes les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administratives de la direction,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soit le budget, la gestion des factures et achats, l'organisation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pour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rents comit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s, les contacts avec les pays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trangers pour l'association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internationale CIGR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dont M. St-Onge est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taire-tr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sorier, les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nagements, etc.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Responsable du syst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me s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curit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 xml:space="preserve">CASI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lix-Martin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avril 88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90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administrative pour Jean Monette, chef de service Plan de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veloppement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sidence Production, Transport et Distribution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ches:</w:t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du Comit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de planification de la 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sidence PTD,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paration et organisation de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unions,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daction des comptes-rendus,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saisie des feuilles de temps, du suivi de gestion ainsi que des autres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 xml:space="preserve">ches administratives se rattachant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ce poste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octobre 86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avril 88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juridique de Me Pierrette Sinclair, avocate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lettres d'opinion,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nographie, dictaphone. 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ponse aux demandes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d'information concernant ses dossiers juridiques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juin 83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septembre 86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de Louis Bolullo et Marc Boucher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Planification 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rale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responsable des 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administratives de ces 2 groupes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80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juin 83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- Recherche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conomique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dactylographi</w:t>
      </w:r>
      <w:r>
        <w:rPr>
          <w:rStyle w:val="Aucun"/>
          <w:sz w:val="22"/>
          <w:szCs w:val="22"/>
          <w:rtl w:val="0"/>
          <w:lang w:val="fr-FR"/>
        </w:rPr>
        <w:t>é é</w:t>
      </w:r>
      <w:r>
        <w:rPr>
          <w:rStyle w:val="Aucun"/>
          <w:sz w:val="22"/>
          <w:szCs w:val="22"/>
          <w:rtl w:val="0"/>
          <w:lang w:val="fr-FR"/>
        </w:rPr>
        <w:t xml:space="preserve">tudes 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conomiques, tableaux, lettres,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rents formulaires,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feuilles de temps.  Travail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quipe.  Vu ma facilit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avec la langue anglaise,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remplacement de la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de M. Edmond A. Lemieux, vice-pr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sident Finances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 A"/>
        </w:rPr>
        <w:tab/>
        <w:tab/>
        <w:tab/>
        <w:tab/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75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79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 (pr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e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Soci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nergie de la Baie James)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taire juridique au Contentieux pour Me John Lussier, avocat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la SEBJ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digeais correspondance, mises en demeure, proc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dures judiciaires,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prenais tous ses appels 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phoniques, obtenais l'information au dossier,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prenais en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 diff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rentes lettres d'opinion.  Beaucoup de responsabilit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et d'initiative, contacts directs avec les gens des chantiers de la Baie James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74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vrier 75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nographe au Contentieux pour Me Gilles Landreville, notaire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contrats notari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s, correspondance, courrier, classement,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nographie,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accueil de clients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novembre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novembre 74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nographe au Contentieux pour Me Robert C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, notaire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contrats notari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s, correspondance,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nographie, courrier, classement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accueil de clients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juillet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novembre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commis-dactylo au Contentieux - Perception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mises en demeure aux gens dont les comptes d'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lectricit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>demeuraient impay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mai 73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juillet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Hydro-Qu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bec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commis-dactylo, centrale 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nographique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remplacement de 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taires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poste :</w:t>
        <w:tab/>
        <w:t xml:space="preserve">septembre 72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 xml:space="preserve">avril 73 </w:t>
      </w:r>
      <w:r>
        <w:rPr>
          <w:rStyle w:val="Aucun"/>
          <w:sz w:val="22"/>
          <w:szCs w:val="22"/>
          <w:rtl w:val="0"/>
          <w:lang w:val="fr-FR"/>
        </w:rPr>
        <w:t xml:space="preserve">– </w:t>
      </w:r>
      <w:r>
        <w:rPr>
          <w:rStyle w:val="Aucun"/>
          <w:sz w:val="22"/>
          <w:szCs w:val="22"/>
          <w:rtl w:val="0"/>
          <w:lang w:val="fr-FR"/>
        </w:rPr>
        <w:t>firme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avocats priv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e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secr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taire juridique chez Campbell, Pepper et Laffoley, avocats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t</w:t>
      </w:r>
      <w:r>
        <w:rPr>
          <w:rStyle w:val="Aucun"/>
          <w:sz w:val="22"/>
          <w:szCs w:val="22"/>
          <w:rtl w:val="0"/>
          <w:lang w:val="fr-FR"/>
        </w:rPr>
        <w:t>â</w:t>
      </w:r>
      <w:r>
        <w:rPr>
          <w:rStyle w:val="Aucun"/>
          <w:sz w:val="22"/>
          <w:szCs w:val="22"/>
          <w:rtl w:val="0"/>
          <w:lang w:val="fr-FR"/>
        </w:rPr>
        <w:t>ches :</w:t>
        <w:tab/>
        <w:t>correspondance anglaise, proc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dures judiciaires, mises en demeure,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st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nographie anglaise et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aise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B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N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2"/>
          <w:szCs w:val="22"/>
          <w:u w:val="single"/>
          <w:rtl w:val="0"/>
          <w:lang w:val="fr-FR"/>
        </w:rPr>
        <w:t>VOLAT</w:t>
      </w:r>
    </w:p>
    <w:p>
      <w:pPr>
        <w:pStyle w:val="Normal.0"/>
        <w:tabs>
          <w:tab w:val="left" w:pos="6096"/>
        </w:tabs>
        <w:rPr>
          <w:rStyle w:val="Aucun"/>
          <w:b w:val="1"/>
          <w:bCs w:val="1"/>
          <w:sz w:val="22"/>
          <w:szCs w:val="22"/>
          <w:u w:val="single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 A"/>
          <w:rtl w:val="0"/>
          <w:lang w:val="fr-FR"/>
        </w:rPr>
        <w:t xml:space="preserve">Les serres du dos blanc, Ville St-Laurent, juillet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cembre 2021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</w:rPr>
      </w:pPr>
      <w:r>
        <w:rPr>
          <w:rStyle w:val="Aucun A"/>
          <w:rtl w:val="0"/>
          <w:lang w:val="fr-FR"/>
        </w:rPr>
        <w:t>Soins palliatifs CIUSSS Nord-de-l</w:t>
      </w:r>
      <w:r>
        <w:rPr>
          <w:rStyle w:val="Aucun A"/>
          <w:rtl w:val="0"/>
          <w:lang w:val="fr-FR"/>
        </w:rPr>
        <w:t>’ï</w:t>
      </w:r>
      <w:r>
        <w:rPr>
          <w:rStyle w:val="Aucun A"/>
          <w:rtl w:val="0"/>
          <w:lang w:val="fr-FR"/>
        </w:rPr>
        <w:t>le-de-Montr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al, 2015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2018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Comit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 xml:space="preserve">citoyen, arrondissement Ahuntsic-Cartierville, 2011 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H</w:t>
      </w:r>
      <w:r>
        <w:rPr>
          <w:rStyle w:val="Aucun"/>
          <w:sz w:val="22"/>
          <w:szCs w:val="22"/>
          <w:rtl w:val="0"/>
          <w:lang w:val="fr-FR"/>
        </w:rPr>
        <w:t>ô</w:t>
      </w:r>
      <w:r>
        <w:rPr>
          <w:rStyle w:val="Aucun"/>
          <w:sz w:val="22"/>
          <w:szCs w:val="22"/>
          <w:rtl w:val="0"/>
          <w:lang w:val="fr-FR"/>
        </w:rPr>
        <w:t>pital Ste-Justine aupr</w:t>
      </w:r>
      <w:r>
        <w:rPr>
          <w:rStyle w:val="Aucun"/>
          <w:sz w:val="22"/>
          <w:szCs w:val="22"/>
          <w:rtl w:val="0"/>
          <w:lang w:val="fr-FR"/>
        </w:rPr>
        <w:t>è</w:t>
      </w:r>
      <w:r>
        <w:rPr>
          <w:rStyle w:val="Aucun"/>
          <w:sz w:val="22"/>
          <w:szCs w:val="22"/>
          <w:rtl w:val="0"/>
          <w:lang w:val="fr-FR"/>
        </w:rPr>
        <w:t>s des enfants malades, 1992-93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Op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ration Nez-Rouge,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c. 1990</w:t>
      </w:r>
    </w:p>
    <w:p>
      <w:pPr>
        <w:pStyle w:val="Normal.0"/>
        <w:tabs>
          <w:tab w:val="left" w:pos="6096"/>
        </w:tabs>
        <w:ind w:left="851" w:hanging="851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>Association des gardiennes d'Ahuntsic, 1969</w:t>
      </w: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  <w:ind w:left="851" w:hanging="851"/>
        <w:rPr>
          <w:rStyle w:val="Aucun A"/>
          <w:sz w:val="22"/>
          <w:szCs w:val="22"/>
        </w:rPr>
      </w:pPr>
    </w:p>
    <w:p>
      <w:pPr>
        <w:pStyle w:val="Normal.0"/>
        <w:tabs>
          <w:tab w:val="left" w:pos="6096"/>
        </w:tabs>
      </w:pPr>
      <w:r>
        <w:rPr>
          <w:rStyle w:val="Aucun"/>
          <w:sz w:val="22"/>
          <w:szCs w:val="22"/>
          <w:rtl w:val="0"/>
          <w:lang w:val="fr-FR"/>
        </w:rPr>
        <w:t>Le 1er juin 2025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upperLetter"/>
      <w:suff w:val="tab"/>
      <w:lvlText w:val="%1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6096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6"/>
      </w:numPr>
    </w:pPr>
  </w:style>
  <w:style w:type="numbering" w:styleId="Style 4 importé">
    <w:name w:val="Style 4 importé"/>
    <w:pPr>
      <w:numPr>
        <w:numId w:val="9"/>
      </w:numPr>
    </w:pPr>
  </w:style>
  <w:style w:type="numbering" w:styleId="Style 5 importé">
    <w:name w:val="Style 5 importé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